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52624AC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D908B4">
        <w:rPr>
          <w:noProof w:val="0"/>
          <w:sz w:val="24"/>
          <w:szCs w:val="24"/>
        </w:rPr>
        <w:t>2</w:t>
      </w:r>
      <w:r w:rsidR="00741EC5">
        <w:rPr>
          <w:noProof w:val="0"/>
          <w:sz w:val="24"/>
          <w:szCs w:val="24"/>
        </w:rPr>
        <w:t>-e</w:t>
      </w:r>
      <w:r w:rsidRPr="00B266B0">
        <w:rPr>
          <w:bCs/>
          <w:noProof w:val="0"/>
          <w:sz w:val="24"/>
          <w:szCs w:val="24"/>
        </w:rPr>
        <w:tab/>
      </w:r>
      <w:r w:rsidRPr="00E70ABA">
        <w:rPr>
          <w:rFonts w:hint="eastAsia"/>
          <w:bCs/>
          <w:noProof w:val="0"/>
          <w:sz w:val="24"/>
          <w:szCs w:val="24"/>
        </w:rPr>
        <w:t>R</w:t>
      </w:r>
      <w:r w:rsidR="003454FC" w:rsidRPr="00E70ABA">
        <w:rPr>
          <w:bCs/>
          <w:noProof w:val="0"/>
          <w:sz w:val="24"/>
          <w:szCs w:val="24"/>
        </w:rPr>
        <w:t>3</w:t>
      </w:r>
      <w:r w:rsidRPr="00E70ABA">
        <w:rPr>
          <w:rFonts w:hint="eastAsia"/>
          <w:bCs/>
          <w:noProof w:val="0"/>
          <w:sz w:val="24"/>
          <w:szCs w:val="24"/>
        </w:rPr>
        <w:t>-</w:t>
      </w:r>
      <w:r w:rsidR="00797D4B" w:rsidRPr="00E70ABA">
        <w:rPr>
          <w:bCs/>
          <w:noProof w:val="0"/>
          <w:sz w:val="24"/>
          <w:szCs w:val="24"/>
        </w:rPr>
        <w:t>2</w:t>
      </w:r>
      <w:r w:rsidR="00C275BC" w:rsidRPr="00E70ABA">
        <w:rPr>
          <w:bCs/>
          <w:noProof w:val="0"/>
          <w:sz w:val="24"/>
          <w:szCs w:val="24"/>
        </w:rPr>
        <w:t>1</w:t>
      </w:r>
      <w:r w:rsidR="00E70ABA">
        <w:rPr>
          <w:bCs/>
          <w:noProof w:val="0"/>
          <w:sz w:val="24"/>
          <w:szCs w:val="24"/>
        </w:rPr>
        <w:t>2324</w:t>
      </w:r>
    </w:p>
    <w:p w14:paraId="1822B173" w14:textId="732FF395"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D908B4" w:rsidRPr="00D908B4">
        <w:rPr>
          <w:rFonts w:cs="Arial"/>
          <w:sz w:val="24"/>
          <w:szCs w:val="24"/>
          <w:lang w:val="en-US"/>
        </w:rPr>
        <w:t>17 – 27 May</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2C61FB4"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566C84">
        <w:rPr>
          <w:rFonts w:cs="Arial"/>
          <w:b/>
          <w:bCs/>
          <w:sz w:val="24"/>
          <w:lang w:val="en-US" w:eastAsia="ja-JP"/>
        </w:rPr>
        <w:t>15.2.1.</w:t>
      </w:r>
      <w:r w:rsidR="008B111C">
        <w:rPr>
          <w:rFonts w:cs="Arial"/>
          <w:b/>
          <w:bCs/>
          <w:sz w:val="24"/>
          <w:lang w:val="en-US" w:eastAsia="ja-JP"/>
        </w:rPr>
        <w:t>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B173A0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735D">
        <w:rPr>
          <w:rFonts w:ascii="Arial" w:hAnsi="Arial" w:cs="Arial"/>
          <w:b/>
          <w:bCs/>
          <w:sz w:val="24"/>
        </w:rPr>
        <w:t xml:space="preserve">Principles for configuration of NR </w:t>
      </w:r>
      <w:proofErr w:type="spellStart"/>
      <w:r w:rsidR="00FF735D">
        <w:rPr>
          <w:rFonts w:ascii="Arial" w:hAnsi="Arial" w:cs="Arial"/>
          <w:b/>
          <w:bCs/>
          <w:sz w:val="24"/>
        </w:rPr>
        <w:t>QoE</w:t>
      </w:r>
      <w:proofErr w:type="spellEnd"/>
      <w:r w:rsidR="00FF735D">
        <w:rPr>
          <w:rFonts w:ascii="Arial" w:hAnsi="Arial" w:cs="Arial"/>
          <w:b/>
          <w:bCs/>
          <w:sz w:val="24"/>
        </w:rPr>
        <w:t xml:space="preserve"> measurements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06D1BC39" w:rsidR="00CD4C7B" w:rsidRDefault="00566C84" w:rsidP="00CD4C7B">
      <w:r>
        <w:t xml:space="preserve">In this paper we </w:t>
      </w:r>
      <w:r w:rsidR="00652DC7">
        <w:t>discuss</w:t>
      </w:r>
      <w:r>
        <w:t xml:space="preserve"> </w:t>
      </w:r>
      <w:r w:rsidR="00A859D8">
        <w:t>c</w:t>
      </w:r>
      <w:r w:rsidR="008B111C" w:rsidRPr="008B111C">
        <w:t xml:space="preserve">onfiguration </w:t>
      </w:r>
      <w:r w:rsidR="00A859D8">
        <w:t xml:space="preserve">for </w:t>
      </w:r>
      <w:r>
        <w:t xml:space="preserve">NR </w:t>
      </w:r>
      <w:proofErr w:type="spellStart"/>
      <w:r>
        <w:t>QoE</w:t>
      </w:r>
      <w:proofErr w:type="spellEnd"/>
      <w:r w:rsidR="00A859D8">
        <w:t xml:space="preserve"> measurement collection</w:t>
      </w:r>
      <w:r>
        <w:t>.</w:t>
      </w:r>
    </w:p>
    <w:p w14:paraId="479DA40B" w14:textId="64AD68D0" w:rsidR="00CD4C7B" w:rsidRPr="006E13D1" w:rsidRDefault="00CD4C7B" w:rsidP="00CD4C7B">
      <w:pPr>
        <w:pStyle w:val="Heading1"/>
      </w:pPr>
      <w:r w:rsidRPr="006E13D1">
        <w:t>2</w:t>
      </w:r>
      <w:r w:rsidRPr="006E13D1">
        <w:tab/>
      </w:r>
      <w:r w:rsidR="00972FD7">
        <w:t>Discussion</w:t>
      </w:r>
      <w:r w:rsidR="00CB30DE">
        <w:t>s</w:t>
      </w:r>
    </w:p>
    <w:p w14:paraId="301C5D25" w14:textId="77777777" w:rsidR="008B111C" w:rsidRDefault="008B111C" w:rsidP="008B111C">
      <w:pPr>
        <w:pStyle w:val="Heading2"/>
        <w:rPr>
          <w:lang w:eastAsia="zh-CN"/>
        </w:rPr>
      </w:pPr>
      <w:r>
        <w:rPr>
          <w:lang w:eastAsia="zh-CN"/>
        </w:rPr>
        <w:t>2.1</w:t>
      </w:r>
      <w:r>
        <w:rPr>
          <w:lang w:eastAsia="zh-CN"/>
        </w:rPr>
        <w:tab/>
        <w:t>Simultaneous QoE configurations</w:t>
      </w:r>
    </w:p>
    <w:p w14:paraId="4B2E10FC" w14:textId="77777777" w:rsidR="008B111C" w:rsidRDefault="008B111C" w:rsidP="008B111C">
      <w:pPr>
        <w:jc w:val="both"/>
      </w:pPr>
      <w:r>
        <w:t>NR WI targets multiple simultaneous QoE measurements to be configured at a UE.</w:t>
      </w:r>
    </w:p>
    <w:p w14:paraId="414E6FE5" w14:textId="77777777" w:rsidR="008B111C" w:rsidRDefault="008B111C" w:rsidP="008B111C">
      <w:pPr>
        <w:jc w:val="both"/>
      </w:pPr>
      <w:r>
        <w:t>LTE use the following procedures for configuration and reporting:</w:t>
      </w:r>
    </w:p>
    <w:bookmarkStart w:id="2" w:name="_1678787610"/>
    <w:bookmarkEnd w:id="2"/>
    <w:p w14:paraId="79278C57" w14:textId="77777777" w:rsidR="008B111C" w:rsidRDefault="008B111C" w:rsidP="008B111C">
      <w:pPr>
        <w:pStyle w:val="TH"/>
      </w:pPr>
      <w:r>
        <w:object w:dxaOrig="6360" w:dyaOrig="2370" w14:anchorId="018D9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12" o:title=""/>
          </v:shape>
          <o:OLEObject Type="Embed" ProgID="Word.Picture.8" ShapeID="_x0000_i1025" DrawAspect="Content" ObjectID="_1681848457" r:id="rId13"/>
        </w:object>
      </w:r>
    </w:p>
    <w:p w14:paraId="7D3FD1E0" w14:textId="77777777" w:rsidR="008B111C" w:rsidRDefault="008B111C" w:rsidP="008B111C">
      <w:pPr>
        <w:pStyle w:val="Caption"/>
        <w:jc w:val="center"/>
      </w:pPr>
      <w:r>
        <w:t>Figure 2: Application layer measurement reporting (TS36.331, Figure 5.6.19.1-1)</w:t>
      </w:r>
    </w:p>
    <w:p w14:paraId="14636A5A" w14:textId="77777777" w:rsidR="008B111C" w:rsidRDefault="008B111C" w:rsidP="008B111C">
      <w:pPr>
        <w:jc w:val="both"/>
      </w:pPr>
      <w:r>
        <w:t xml:space="preserve"> If the same message structure is used, as in LTE, the objective can be fulfilled in two possible ways:</w:t>
      </w:r>
    </w:p>
    <w:p w14:paraId="44F3A86E" w14:textId="77777777" w:rsidR="008B111C" w:rsidRDefault="008B111C" w:rsidP="008B111C">
      <w:pPr>
        <w:pStyle w:val="ListParagraph"/>
        <w:numPr>
          <w:ilvl w:val="0"/>
          <w:numId w:val="6"/>
        </w:numPr>
        <w:jc w:val="both"/>
      </w:pPr>
      <w:r>
        <w:t>either several RRC Reconfigurations messages can be send to the UE with QoE configuration, or</w:t>
      </w:r>
    </w:p>
    <w:p w14:paraId="52916478" w14:textId="77777777" w:rsidR="008B111C" w:rsidRDefault="008B111C" w:rsidP="008B111C">
      <w:pPr>
        <w:pStyle w:val="ListParagraph"/>
        <w:numPr>
          <w:ilvl w:val="0"/>
          <w:numId w:val="6"/>
        </w:numPr>
        <w:jc w:val="both"/>
      </w:pPr>
      <w:r>
        <w:t>a single RRC reconfiguration message (with QoE configuration) is extended (compared to the LTE signalling) to allow simultaneous configuration of multiple QoE measurements.</w:t>
      </w:r>
    </w:p>
    <w:p w14:paraId="2EC827A3" w14:textId="66F4175D" w:rsidR="008B111C" w:rsidRDefault="008B111C" w:rsidP="008B111C">
      <w:pPr>
        <w:jc w:val="both"/>
        <w:rPr>
          <w:b/>
          <w:bCs/>
        </w:rPr>
      </w:pPr>
      <w:r>
        <w:rPr>
          <w:b/>
          <w:bCs/>
        </w:rPr>
        <w:t xml:space="preserve">Proposal </w:t>
      </w:r>
      <w:r w:rsidR="00EC030E">
        <w:rPr>
          <w:b/>
          <w:bCs/>
        </w:rPr>
        <w:t>1</w:t>
      </w:r>
      <w:r>
        <w:rPr>
          <w:b/>
          <w:bCs/>
        </w:rPr>
        <w:t>:</w:t>
      </w:r>
      <w:r>
        <w:t xml:space="preserve"> To allow simultaneous configuration of multiple QoE measurements the signalling used in LTE is enhanced.</w:t>
      </w:r>
    </w:p>
    <w:p w14:paraId="4FA55C19" w14:textId="77777777" w:rsidR="008B111C" w:rsidRDefault="008B111C" w:rsidP="008B111C">
      <w:pPr>
        <w:jc w:val="both"/>
      </w:pPr>
      <w:r>
        <w:t xml:space="preserve">The TR </w:t>
      </w:r>
      <w:hyperlink r:id="rId14" w:history="1">
        <w:r>
          <w:rPr>
            <w:rStyle w:val="Hyperlink"/>
          </w:rPr>
          <w:t>38.890</w:t>
        </w:r>
      </w:hyperlink>
      <w:r>
        <w:rPr>
          <w:rStyle w:val="Hyperlink"/>
        </w:rPr>
        <w:t xml:space="preserve"> </w:t>
      </w:r>
      <w:r>
        <w:t>writes: “In case multiple QoE measurements are configured at a UE, it can be discussed in the normative phase whether one measurement is configured per service type at the UE.”</w:t>
      </w:r>
    </w:p>
    <w:p w14:paraId="15CB1AA7" w14:textId="1ECAD876" w:rsidR="008B111C" w:rsidRDefault="008B111C" w:rsidP="008B111C">
      <w:pPr>
        <w:jc w:val="both"/>
      </w:pPr>
      <w:r>
        <w:t>As a starting point, for Rel-17, we think RAN2 can limit the number of QoE Measurement  configurations in AS to one per service type. Thus, multiple services can be allowed in QoE configuration over RRC, while one set of measurements per service.</w:t>
      </w:r>
    </w:p>
    <w:p w14:paraId="66DEDC4A" w14:textId="0F2FBF0D" w:rsidR="009B279E" w:rsidRDefault="009B279E" w:rsidP="008B111C">
      <w:pPr>
        <w:jc w:val="both"/>
      </w:pPr>
      <w:bookmarkStart w:id="3" w:name="_Hlk71029368"/>
      <w:r>
        <w:t xml:space="preserve">Another aspect to </w:t>
      </w:r>
      <w:proofErr w:type="gramStart"/>
      <w:r>
        <w:t>take into account</w:t>
      </w:r>
      <w:proofErr w:type="gramEnd"/>
      <w:r>
        <w:t xml:space="preserve"> is the handling of multiple configurations in Application layer: The behaviour of Application layer is not clear if several QoE configurations are received for the same service. Would the newest replace the oldest one? Would both be kept? For this </w:t>
      </w:r>
      <w:proofErr w:type="gramStart"/>
      <w:r>
        <w:t>reason</w:t>
      </w:r>
      <w:proofErr w:type="gramEnd"/>
      <w:r>
        <w:t xml:space="preserve"> too, we think that in Rel-17, only one configuration per service type should be allowed.</w:t>
      </w:r>
    </w:p>
    <w:bookmarkEnd w:id="3"/>
    <w:p w14:paraId="74CFB51F" w14:textId="77777777" w:rsidR="009B279E" w:rsidRDefault="009B279E" w:rsidP="008B111C">
      <w:pPr>
        <w:jc w:val="both"/>
      </w:pPr>
    </w:p>
    <w:p w14:paraId="2BCA3DE7" w14:textId="482C5C2E" w:rsidR="008B111C" w:rsidRDefault="008B111C" w:rsidP="008B111C">
      <w:pPr>
        <w:jc w:val="both"/>
        <w:rPr>
          <w:b/>
          <w:bCs/>
        </w:rPr>
      </w:pPr>
      <w:r>
        <w:rPr>
          <w:b/>
          <w:bCs/>
        </w:rPr>
        <w:t xml:space="preserve">Proposal </w:t>
      </w:r>
      <w:r w:rsidR="00F11EB2">
        <w:rPr>
          <w:b/>
          <w:bCs/>
        </w:rPr>
        <w:t>2</w:t>
      </w:r>
      <w:r>
        <w:rPr>
          <w:b/>
          <w:bCs/>
        </w:rPr>
        <w:t>:</w:t>
      </w:r>
      <w:r>
        <w:t xml:space="preserve"> In Rel-17, only one QoE measurement per measurement type is allowed.</w:t>
      </w:r>
    </w:p>
    <w:p w14:paraId="5A627B41" w14:textId="6CCB5EEA" w:rsidR="00B21429" w:rsidRDefault="00B21429" w:rsidP="00B21429">
      <w:pPr>
        <w:pStyle w:val="Heading2"/>
        <w:rPr>
          <w:lang w:eastAsia="zh-CN"/>
        </w:rPr>
      </w:pPr>
      <w:r>
        <w:rPr>
          <w:lang w:eastAsia="zh-CN"/>
        </w:rPr>
        <w:t>2.2</w:t>
      </w:r>
      <w:r>
        <w:rPr>
          <w:lang w:eastAsia="zh-CN"/>
        </w:rPr>
        <w:tab/>
        <w:t>Management based vs Signalling based Configuration</w:t>
      </w:r>
    </w:p>
    <w:p w14:paraId="66563713" w14:textId="30B9D12D" w:rsidR="00EC030E" w:rsidRDefault="00B21429" w:rsidP="00B21429">
      <w:pPr>
        <w:pStyle w:val="00BodyText"/>
        <w:spacing w:after="0"/>
        <w:rPr>
          <w:rFonts w:ascii="Times New Roman" w:hAnsi="Times New Roman"/>
          <w:sz w:val="20"/>
          <w:lang w:val="en-GB"/>
        </w:rPr>
      </w:pPr>
      <w:r>
        <w:rPr>
          <w:rFonts w:ascii="Times New Roman" w:hAnsi="Times New Roman"/>
          <w:sz w:val="20"/>
          <w:lang w:val="en-GB"/>
        </w:rPr>
        <w:t xml:space="preserve">Both Management based and signalling based QoE reporting are possible. Like for MDT, we think that management-based configuration should not overwrite </w:t>
      </w:r>
      <w:r w:rsidR="00EC030E">
        <w:rPr>
          <w:rFonts w:ascii="Times New Roman" w:hAnsi="Times New Roman"/>
          <w:sz w:val="20"/>
          <w:lang w:val="en-GB"/>
        </w:rPr>
        <w:t xml:space="preserve">signalling based configuration in the UE. </w:t>
      </w:r>
    </w:p>
    <w:p w14:paraId="4B0B5400" w14:textId="0CA26AE1" w:rsidR="00EC030E" w:rsidRDefault="00EC030E" w:rsidP="00B21429">
      <w:pPr>
        <w:pStyle w:val="00BodyText"/>
        <w:spacing w:after="0"/>
        <w:rPr>
          <w:rFonts w:ascii="Times New Roman" w:hAnsi="Times New Roman"/>
          <w:sz w:val="20"/>
          <w:lang w:val="en-GB"/>
        </w:rPr>
      </w:pPr>
    </w:p>
    <w:p w14:paraId="4DEAFC46" w14:textId="10EAE219" w:rsidR="00EC030E" w:rsidRPr="00EC030E" w:rsidRDefault="00EC030E" w:rsidP="00B21429">
      <w:pPr>
        <w:pStyle w:val="00BodyText"/>
        <w:spacing w:after="0"/>
        <w:rPr>
          <w:rFonts w:ascii="Times New Roman" w:hAnsi="Times New Roman"/>
          <w:b/>
          <w:bCs/>
          <w:sz w:val="20"/>
          <w:lang w:val="en-GB"/>
        </w:rPr>
      </w:pPr>
      <w:r>
        <w:rPr>
          <w:rFonts w:ascii="Times New Roman" w:hAnsi="Times New Roman"/>
          <w:b/>
          <w:bCs/>
          <w:sz w:val="20"/>
          <w:lang w:val="en-GB"/>
        </w:rPr>
        <w:t>Proposal</w:t>
      </w:r>
      <w:r w:rsidR="001E125C">
        <w:rPr>
          <w:rFonts w:ascii="Times New Roman" w:hAnsi="Times New Roman"/>
          <w:b/>
          <w:bCs/>
          <w:sz w:val="20"/>
          <w:lang w:val="en-GB"/>
        </w:rPr>
        <w:t xml:space="preserve"> 3</w:t>
      </w:r>
      <w:r>
        <w:rPr>
          <w:rFonts w:ascii="Times New Roman" w:hAnsi="Times New Roman"/>
          <w:b/>
          <w:bCs/>
          <w:sz w:val="20"/>
          <w:lang w:val="en-GB"/>
        </w:rPr>
        <w:t>: Management based configuration should not overwrite signalling based configuration in the UE</w:t>
      </w:r>
    </w:p>
    <w:p w14:paraId="33646B0C" w14:textId="639A7AB2" w:rsidR="008B111C" w:rsidRDefault="008B111C" w:rsidP="00CD4C7B">
      <w:pPr>
        <w:pStyle w:val="00BodyText"/>
        <w:spacing w:after="0"/>
        <w:rPr>
          <w:rFonts w:ascii="Times New Roman" w:hAnsi="Times New Roman"/>
          <w:b/>
          <w:bCs/>
          <w:sz w:val="20"/>
          <w:lang w:val="en-GB"/>
        </w:rPr>
      </w:pPr>
    </w:p>
    <w:p w14:paraId="3861E637" w14:textId="176A28E5" w:rsidR="00EC030E" w:rsidRDefault="00EC030E" w:rsidP="00CD4C7B">
      <w:pPr>
        <w:pStyle w:val="00BodyText"/>
        <w:spacing w:after="0"/>
        <w:rPr>
          <w:rFonts w:ascii="Times New Roman" w:hAnsi="Times New Roman"/>
          <w:sz w:val="20"/>
          <w:lang w:val="en-GB"/>
        </w:rPr>
      </w:pPr>
      <w:r>
        <w:rPr>
          <w:rFonts w:ascii="Times New Roman" w:hAnsi="Times New Roman"/>
          <w:sz w:val="20"/>
          <w:lang w:val="en-GB"/>
        </w:rPr>
        <w:t xml:space="preserve">If the proposal </w:t>
      </w:r>
      <w:r w:rsidR="00F11EB2">
        <w:rPr>
          <w:rFonts w:ascii="Times New Roman" w:hAnsi="Times New Roman"/>
          <w:sz w:val="20"/>
          <w:lang w:val="en-GB"/>
        </w:rPr>
        <w:t xml:space="preserve">2 is agreed, this mean that gNB should not configure a UE for management based QoE </w:t>
      </w:r>
    </w:p>
    <w:p w14:paraId="5EAF846C" w14:textId="77777777" w:rsidR="00F11EB2" w:rsidRPr="00EC030E" w:rsidRDefault="00F11EB2" w:rsidP="00CD4C7B">
      <w:pPr>
        <w:pStyle w:val="00BodyText"/>
        <w:spacing w:after="0"/>
        <w:rPr>
          <w:rFonts w:ascii="Times New Roman" w:hAnsi="Times New Roman"/>
          <w:sz w:val="20"/>
          <w:lang w:val="en-GB"/>
        </w:rPr>
      </w:pPr>
    </w:p>
    <w:p w14:paraId="49F7AF68" w14:textId="2D5B72F1" w:rsidR="00812CD6" w:rsidRDefault="00CA302A" w:rsidP="00CA302A">
      <w:pPr>
        <w:pStyle w:val="Heading2"/>
        <w:rPr>
          <w:lang w:eastAsia="zh-CN"/>
        </w:rPr>
      </w:pPr>
      <w:r>
        <w:rPr>
          <w:lang w:eastAsia="zh-CN"/>
        </w:rPr>
        <w:t>2.</w:t>
      </w:r>
      <w:r w:rsidR="00B21429">
        <w:rPr>
          <w:lang w:eastAsia="zh-CN"/>
        </w:rPr>
        <w:t>3</w:t>
      </w:r>
      <w:r>
        <w:rPr>
          <w:lang w:eastAsia="zh-CN"/>
        </w:rPr>
        <w:tab/>
        <w:t xml:space="preserve">Unexpected </w:t>
      </w:r>
      <w:r w:rsidR="00812CD6">
        <w:rPr>
          <w:lang w:eastAsia="zh-CN"/>
        </w:rPr>
        <w:t>QoE Report</w:t>
      </w:r>
    </w:p>
    <w:p w14:paraId="568A1E07" w14:textId="0EA8F1C7" w:rsidR="00BB2717" w:rsidRDefault="00812CD6" w:rsidP="00CD4C7B">
      <w:pPr>
        <w:pStyle w:val="00BodyText"/>
        <w:spacing w:after="0"/>
        <w:rPr>
          <w:rFonts w:ascii="Times New Roman" w:hAnsi="Times New Roman"/>
          <w:sz w:val="20"/>
          <w:lang w:val="en-GB"/>
        </w:rPr>
      </w:pPr>
      <w:r>
        <w:rPr>
          <w:rFonts w:ascii="Times New Roman" w:hAnsi="Times New Roman"/>
          <w:sz w:val="20"/>
          <w:lang w:val="en-GB"/>
        </w:rPr>
        <w:t xml:space="preserve">The issue of reporting unexpected QoE report is also discussed in RAN2. But depending on RAN2 output, it may happen that UE transfers to gNB a QoE report that does not correspond to any of the QoE configuration in gNB for the UE. We think that RAN3 should consider this case and </w:t>
      </w:r>
      <w:r w:rsidR="00377E91">
        <w:rPr>
          <w:rFonts w:ascii="Times New Roman" w:hAnsi="Times New Roman"/>
          <w:sz w:val="20"/>
          <w:lang w:val="en-GB"/>
        </w:rPr>
        <w:t xml:space="preserve">define a gNB behaviour: </w:t>
      </w:r>
    </w:p>
    <w:p w14:paraId="025022F5" w14:textId="4798A09C" w:rsidR="00377E91" w:rsidRDefault="00377E91" w:rsidP="00377E91">
      <w:pPr>
        <w:pStyle w:val="00BodyText"/>
        <w:numPr>
          <w:ilvl w:val="0"/>
          <w:numId w:val="6"/>
        </w:numPr>
        <w:spacing w:after="0"/>
        <w:rPr>
          <w:rFonts w:ascii="Times New Roman" w:hAnsi="Times New Roman"/>
          <w:sz w:val="20"/>
          <w:lang w:val="en-GB"/>
        </w:rPr>
      </w:pPr>
      <w:r>
        <w:rPr>
          <w:rFonts w:ascii="Times New Roman" w:hAnsi="Times New Roman"/>
          <w:sz w:val="20"/>
          <w:lang w:val="en-GB"/>
        </w:rPr>
        <w:t xml:space="preserve">should the report be sent to OAM ? </w:t>
      </w:r>
    </w:p>
    <w:p w14:paraId="6636F7D4" w14:textId="41880EA6" w:rsidR="00377E91" w:rsidRDefault="00377E91" w:rsidP="00377E91">
      <w:pPr>
        <w:pStyle w:val="00BodyText"/>
        <w:numPr>
          <w:ilvl w:val="0"/>
          <w:numId w:val="6"/>
        </w:numPr>
        <w:spacing w:after="0"/>
        <w:rPr>
          <w:rFonts w:ascii="Times New Roman" w:hAnsi="Times New Roman"/>
          <w:sz w:val="20"/>
          <w:lang w:val="en-GB"/>
        </w:rPr>
      </w:pPr>
      <w:r>
        <w:rPr>
          <w:rFonts w:ascii="Times New Roman" w:hAnsi="Times New Roman"/>
          <w:sz w:val="20"/>
          <w:lang w:val="en-GB"/>
        </w:rPr>
        <w:t>Should the report be discarded?</w:t>
      </w:r>
    </w:p>
    <w:p w14:paraId="3680EB37" w14:textId="0ACC7CAB" w:rsidR="00377E91" w:rsidRDefault="00377E91" w:rsidP="00377E91">
      <w:pPr>
        <w:pStyle w:val="00BodyText"/>
        <w:spacing w:after="0"/>
        <w:rPr>
          <w:rFonts w:ascii="Times New Roman" w:hAnsi="Times New Roman"/>
          <w:sz w:val="20"/>
          <w:lang w:val="en-GB"/>
        </w:rPr>
      </w:pPr>
    </w:p>
    <w:p w14:paraId="61D75DDF" w14:textId="063A305B" w:rsidR="00377E91" w:rsidRDefault="00377E91" w:rsidP="00377E91">
      <w:pPr>
        <w:pStyle w:val="00BodyText"/>
        <w:spacing w:after="0"/>
        <w:rPr>
          <w:rFonts w:ascii="Times New Roman" w:hAnsi="Times New Roman"/>
          <w:sz w:val="20"/>
          <w:lang w:val="en-GB"/>
        </w:rPr>
      </w:pPr>
      <w:r>
        <w:rPr>
          <w:rFonts w:ascii="Times New Roman" w:hAnsi="Times New Roman"/>
          <w:sz w:val="20"/>
          <w:lang w:val="en-GB"/>
        </w:rPr>
        <w:t>We think that it would not be possible to send the report to OAM because the gNB would not have the address of the TCE to report it too.</w:t>
      </w:r>
    </w:p>
    <w:p w14:paraId="015DD6A6" w14:textId="08004BA4" w:rsidR="00377E91" w:rsidRDefault="00377E91" w:rsidP="00377E91">
      <w:pPr>
        <w:pStyle w:val="00BodyText"/>
        <w:spacing w:after="0"/>
        <w:rPr>
          <w:rFonts w:ascii="Times New Roman" w:hAnsi="Times New Roman"/>
          <w:sz w:val="20"/>
          <w:lang w:val="en-GB"/>
        </w:rPr>
      </w:pPr>
    </w:p>
    <w:p w14:paraId="0E6281F0" w14:textId="60B0A0CA" w:rsidR="00377E91" w:rsidRPr="00377E91" w:rsidRDefault="00377E91" w:rsidP="00377E91">
      <w:pPr>
        <w:pStyle w:val="00BodyText"/>
        <w:spacing w:after="0"/>
        <w:rPr>
          <w:rFonts w:ascii="Times New Roman" w:hAnsi="Times New Roman"/>
          <w:sz w:val="20"/>
          <w:lang w:val="en-GB"/>
        </w:rPr>
      </w:pPr>
      <w:r w:rsidRPr="00377E91">
        <w:rPr>
          <w:rFonts w:ascii="Times New Roman" w:hAnsi="Times New Roman"/>
          <w:b/>
          <w:bCs/>
          <w:sz w:val="20"/>
          <w:lang w:val="en-GB"/>
        </w:rPr>
        <w:t>Proposal</w:t>
      </w:r>
      <w:r w:rsidR="001E125C">
        <w:rPr>
          <w:rFonts w:ascii="Times New Roman" w:hAnsi="Times New Roman"/>
          <w:b/>
          <w:bCs/>
          <w:sz w:val="20"/>
          <w:lang w:val="en-GB"/>
        </w:rPr>
        <w:t xml:space="preserve"> 4</w:t>
      </w:r>
      <w:r w:rsidRPr="00377E91">
        <w:rPr>
          <w:rFonts w:ascii="Times New Roman" w:hAnsi="Times New Roman"/>
          <w:b/>
          <w:bCs/>
          <w:sz w:val="20"/>
          <w:lang w:val="en-GB"/>
        </w:rPr>
        <w:t>:</w:t>
      </w:r>
      <w:r>
        <w:rPr>
          <w:rFonts w:ascii="Times New Roman" w:hAnsi="Times New Roman"/>
          <w:sz w:val="20"/>
          <w:lang w:val="en-GB"/>
        </w:rPr>
        <w:t xml:space="preserve"> in case gNB received a QoE report that does not correspond to any of the QoE configuration relevant for the UE, the report is discarded</w:t>
      </w:r>
    </w:p>
    <w:p w14:paraId="4E14240E" w14:textId="10FC6901" w:rsidR="00BB2717" w:rsidRDefault="00BB2717" w:rsidP="00CD4C7B">
      <w:pPr>
        <w:pStyle w:val="00BodyText"/>
        <w:spacing w:after="0"/>
        <w:rPr>
          <w:rFonts w:ascii="Times New Roman" w:hAnsi="Times New Roman"/>
          <w:sz w:val="20"/>
          <w:lang w:val="en-GB"/>
        </w:rPr>
      </w:pPr>
    </w:p>
    <w:p w14:paraId="3E551338" w14:textId="60CF2C99" w:rsidR="00377E91" w:rsidRDefault="00377E91"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F710D47" w14:textId="30E97A0C" w:rsidR="00BB2717" w:rsidRDefault="009C32EB" w:rsidP="00F42B9D">
      <w:pPr>
        <w:pStyle w:val="00BodyText"/>
        <w:spacing w:after="0"/>
        <w:rPr>
          <w:rFonts w:ascii="Times New Roman" w:hAnsi="Times New Roman"/>
          <w:sz w:val="20"/>
          <w:lang w:val="en-GB"/>
        </w:rPr>
      </w:pPr>
      <w:r w:rsidRPr="009C32EB">
        <w:rPr>
          <w:rFonts w:ascii="Times New Roman" w:hAnsi="Times New Roman"/>
          <w:sz w:val="20"/>
          <w:lang w:val="en-GB"/>
        </w:rPr>
        <w:t xml:space="preserve">In </w:t>
      </w:r>
      <w:r>
        <w:rPr>
          <w:rFonts w:ascii="Times New Roman" w:hAnsi="Times New Roman"/>
          <w:sz w:val="20"/>
          <w:lang w:val="en-GB"/>
        </w:rPr>
        <w:t>this document, we made the following propo</w:t>
      </w:r>
      <w:r w:rsidR="00332AD2">
        <w:rPr>
          <w:rFonts w:ascii="Times New Roman" w:hAnsi="Times New Roman"/>
          <w:sz w:val="20"/>
          <w:lang w:val="en-GB"/>
        </w:rPr>
        <w:t>s</w:t>
      </w:r>
      <w:r>
        <w:rPr>
          <w:rFonts w:ascii="Times New Roman" w:hAnsi="Times New Roman"/>
          <w:sz w:val="20"/>
          <w:lang w:val="en-GB"/>
        </w:rPr>
        <w:t>als:</w:t>
      </w:r>
    </w:p>
    <w:p w14:paraId="4837AF76" w14:textId="1B532A3F" w:rsidR="009C32EB" w:rsidRDefault="009C32EB" w:rsidP="00F42B9D">
      <w:pPr>
        <w:pStyle w:val="00BodyText"/>
        <w:spacing w:after="0"/>
        <w:rPr>
          <w:rFonts w:ascii="Times New Roman" w:hAnsi="Times New Roman"/>
          <w:sz w:val="20"/>
          <w:lang w:val="en-GB"/>
        </w:rPr>
      </w:pPr>
    </w:p>
    <w:p w14:paraId="196DCE62" w14:textId="77777777" w:rsidR="001E125C" w:rsidRDefault="001E125C" w:rsidP="001E125C">
      <w:pPr>
        <w:jc w:val="both"/>
        <w:rPr>
          <w:b/>
          <w:bCs/>
        </w:rPr>
      </w:pPr>
      <w:r>
        <w:rPr>
          <w:b/>
          <w:bCs/>
        </w:rPr>
        <w:t>Proposal 1:</w:t>
      </w:r>
      <w:r>
        <w:t xml:space="preserve"> To allow simultaneous configuration of multiple QoE measurements the signalling used in LTE is enhanced.</w:t>
      </w:r>
    </w:p>
    <w:p w14:paraId="5AEF7E1F" w14:textId="77777777" w:rsidR="001E125C" w:rsidRDefault="001E125C" w:rsidP="001E125C">
      <w:pPr>
        <w:jc w:val="both"/>
        <w:rPr>
          <w:b/>
          <w:bCs/>
        </w:rPr>
      </w:pPr>
      <w:r>
        <w:rPr>
          <w:b/>
          <w:bCs/>
        </w:rPr>
        <w:t>Proposal 2:</w:t>
      </w:r>
      <w:r>
        <w:t xml:space="preserve"> In Rel-17, only one QoE measurement per measurement type is allowed.</w:t>
      </w:r>
    </w:p>
    <w:p w14:paraId="64F02D3C" w14:textId="38A396C7" w:rsidR="001E125C" w:rsidRPr="00EC030E" w:rsidRDefault="001E125C" w:rsidP="001E125C">
      <w:pPr>
        <w:pStyle w:val="00BodyText"/>
        <w:spacing w:after="0"/>
        <w:rPr>
          <w:rFonts w:ascii="Times New Roman" w:hAnsi="Times New Roman"/>
          <w:b/>
          <w:bCs/>
          <w:sz w:val="20"/>
          <w:lang w:val="en-GB"/>
        </w:rPr>
      </w:pPr>
      <w:r>
        <w:rPr>
          <w:rFonts w:ascii="Times New Roman" w:hAnsi="Times New Roman"/>
          <w:b/>
          <w:bCs/>
          <w:sz w:val="20"/>
          <w:lang w:val="en-GB"/>
        </w:rPr>
        <w:t xml:space="preserve">Proposal 3: </w:t>
      </w:r>
      <w:r w:rsidRPr="001E125C">
        <w:rPr>
          <w:rFonts w:ascii="Times New Roman" w:hAnsi="Times New Roman"/>
          <w:sz w:val="20"/>
          <w:lang w:val="en-GB"/>
        </w:rPr>
        <w:t>Management based configuration should not overwrite signalling based configuration in the UE</w:t>
      </w:r>
    </w:p>
    <w:p w14:paraId="544FC386" w14:textId="77777777" w:rsidR="001E125C" w:rsidRDefault="001E125C" w:rsidP="001E125C">
      <w:pPr>
        <w:pStyle w:val="00BodyText"/>
        <w:spacing w:after="0"/>
        <w:rPr>
          <w:rFonts w:ascii="Times New Roman" w:hAnsi="Times New Roman"/>
          <w:sz w:val="20"/>
          <w:lang w:val="en-GB"/>
        </w:rPr>
      </w:pPr>
    </w:p>
    <w:p w14:paraId="130CCBD1" w14:textId="2E976304" w:rsidR="001E125C" w:rsidRDefault="001E125C" w:rsidP="001E125C">
      <w:pPr>
        <w:pStyle w:val="00BodyText"/>
        <w:spacing w:after="0"/>
        <w:rPr>
          <w:rFonts w:ascii="Times New Roman" w:hAnsi="Times New Roman"/>
          <w:sz w:val="20"/>
          <w:lang w:val="en-GB"/>
        </w:rPr>
      </w:pPr>
      <w:r w:rsidRPr="00377E91">
        <w:rPr>
          <w:rFonts w:ascii="Times New Roman" w:hAnsi="Times New Roman"/>
          <w:b/>
          <w:bCs/>
          <w:sz w:val="20"/>
          <w:lang w:val="en-GB"/>
        </w:rPr>
        <w:t>Proposal</w:t>
      </w:r>
      <w:r>
        <w:rPr>
          <w:rFonts w:ascii="Times New Roman" w:hAnsi="Times New Roman"/>
          <w:b/>
          <w:bCs/>
          <w:sz w:val="20"/>
          <w:lang w:val="en-GB"/>
        </w:rPr>
        <w:t xml:space="preserve"> 4</w:t>
      </w:r>
      <w:r w:rsidRPr="00377E91">
        <w:rPr>
          <w:rFonts w:ascii="Times New Roman" w:hAnsi="Times New Roman"/>
          <w:b/>
          <w:bCs/>
          <w:sz w:val="20"/>
          <w:lang w:val="en-GB"/>
        </w:rPr>
        <w:t>:</w:t>
      </w:r>
      <w:r>
        <w:rPr>
          <w:rFonts w:ascii="Times New Roman" w:hAnsi="Times New Roman"/>
          <w:sz w:val="20"/>
          <w:lang w:val="en-GB"/>
        </w:rPr>
        <w:t xml:space="preserve"> in case gNB received a QoE report that does not correspond to any of the QoE configuration relevant for the UE, the report is discarded</w:t>
      </w:r>
    </w:p>
    <w:p w14:paraId="00BE6294" w14:textId="77777777" w:rsidR="009649E9" w:rsidRPr="00377E91" w:rsidRDefault="009649E9" w:rsidP="001E125C">
      <w:pPr>
        <w:pStyle w:val="00BodyText"/>
        <w:spacing w:after="0"/>
        <w:rPr>
          <w:rFonts w:ascii="Times New Roman" w:hAnsi="Times New Roman"/>
          <w:sz w:val="20"/>
          <w:lang w:val="en-GB"/>
        </w:rPr>
      </w:pP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B39F1" w14:textId="77777777" w:rsidR="00C25DCA" w:rsidRDefault="00C25DCA">
      <w:r>
        <w:separator/>
      </w:r>
    </w:p>
  </w:endnote>
  <w:endnote w:type="continuationSeparator" w:id="0">
    <w:p w14:paraId="03843F9A" w14:textId="77777777" w:rsidR="00C25DCA" w:rsidRDefault="00C2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4C2B8" w14:textId="77777777" w:rsidR="00C25DCA" w:rsidRDefault="00C25DCA">
      <w:r>
        <w:separator/>
      </w:r>
    </w:p>
  </w:footnote>
  <w:footnote w:type="continuationSeparator" w:id="0">
    <w:p w14:paraId="1A62D77F" w14:textId="77777777" w:rsidR="00C25DCA" w:rsidRDefault="00C25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F23295"/>
    <w:multiLevelType w:val="multilevel"/>
    <w:tmpl w:val="2AF232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A34AA"/>
    <w:rsid w:val="000B5777"/>
    <w:rsid w:val="000B7BCF"/>
    <w:rsid w:val="000C556D"/>
    <w:rsid w:val="000D376D"/>
    <w:rsid w:val="000D58AB"/>
    <w:rsid w:val="001075B7"/>
    <w:rsid w:val="001370F2"/>
    <w:rsid w:val="001549DD"/>
    <w:rsid w:val="00194CD0"/>
    <w:rsid w:val="001B08B3"/>
    <w:rsid w:val="001C4281"/>
    <w:rsid w:val="001D0D3F"/>
    <w:rsid w:val="001E125C"/>
    <w:rsid w:val="001F168B"/>
    <w:rsid w:val="001F70B7"/>
    <w:rsid w:val="0022606D"/>
    <w:rsid w:val="002305DD"/>
    <w:rsid w:val="00243BC7"/>
    <w:rsid w:val="002623FC"/>
    <w:rsid w:val="002747EC"/>
    <w:rsid w:val="002855BF"/>
    <w:rsid w:val="002953B2"/>
    <w:rsid w:val="002E1692"/>
    <w:rsid w:val="002F0D22"/>
    <w:rsid w:val="003172DC"/>
    <w:rsid w:val="00326069"/>
    <w:rsid w:val="00332AD2"/>
    <w:rsid w:val="003454FC"/>
    <w:rsid w:val="0035462D"/>
    <w:rsid w:val="00363177"/>
    <w:rsid w:val="003702F7"/>
    <w:rsid w:val="00377E91"/>
    <w:rsid w:val="003B3FB3"/>
    <w:rsid w:val="003C4E37"/>
    <w:rsid w:val="003E0C3E"/>
    <w:rsid w:val="003E1194"/>
    <w:rsid w:val="003E16BE"/>
    <w:rsid w:val="003E7223"/>
    <w:rsid w:val="00401855"/>
    <w:rsid w:val="00464695"/>
    <w:rsid w:val="004B38A2"/>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66C84"/>
    <w:rsid w:val="00571CE2"/>
    <w:rsid w:val="005A4971"/>
    <w:rsid w:val="005B1232"/>
    <w:rsid w:val="005B2EEF"/>
    <w:rsid w:val="005D4274"/>
    <w:rsid w:val="00605E3E"/>
    <w:rsid w:val="00606DA9"/>
    <w:rsid w:val="00611566"/>
    <w:rsid w:val="00652DC7"/>
    <w:rsid w:val="00656E1E"/>
    <w:rsid w:val="006604E4"/>
    <w:rsid w:val="006C54B5"/>
    <w:rsid w:val="006D1E24"/>
    <w:rsid w:val="00734A5B"/>
    <w:rsid w:val="00741EC5"/>
    <w:rsid w:val="00743525"/>
    <w:rsid w:val="00744E76"/>
    <w:rsid w:val="007476DB"/>
    <w:rsid w:val="00757D40"/>
    <w:rsid w:val="00774846"/>
    <w:rsid w:val="00781F0F"/>
    <w:rsid w:val="0078727C"/>
    <w:rsid w:val="00797D4B"/>
    <w:rsid w:val="007C095F"/>
    <w:rsid w:val="007D5902"/>
    <w:rsid w:val="00802106"/>
    <w:rsid w:val="008028A4"/>
    <w:rsid w:val="00806520"/>
    <w:rsid w:val="00812CD6"/>
    <w:rsid w:val="00830106"/>
    <w:rsid w:val="00840916"/>
    <w:rsid w:val="00853EDD"/>
    <w:rsid w:val="008604EE"/>
    <w:rsid w:val="0087401D"/>
    <w:rsid w:val="008768CA"/>
    <w:rsid w:val="00880559"/>
    <w:rsid w:val="008B111C"/>
    <w:rsid w:val="008C490B"/>
    <w:rsid w:val="0090271F"/>
    <w:rsid w:val="00903D8C"/>
    <w:rsid w:val="00942EC2"/>
    <w:rsid w:val="00954BCB"/>
    <w:rsid w:val="00961B32"/>
    <w:rsid w:val="009649E9"/>
    <w:rsid w:val="00971683"/>
    <w:rsid w:val="00972FD7"/>
    <w:rsid w:val="00974BB0"/>
    <w:rsid w:val="009A6E4F"/>
    <w:rsid w:val="009B279E"/>
    <w:rsid w:val="009C32EB"/>
    <w:rsid w:val="009C4D5C"/>
    <w:rsid w:val="009D0A28"/>
    <w:rsid w:val="009F3B54"/>
    <w:rsid w:val="009F72C3"/>
    <w:rsid w:val="009F7E6E"/>
    <w:rsid w:val="00A10F02"/>
    <w:rsid w:val="00A53724"/>
    <w:rsid w:val="00A82346"/>
    <w:rsid w:val="00A8361A"/>
    <w:rsid w:val="00A859D8"/>
    <w:rsid w:val="00A9671C"/>
    <w:rsid w:val="00AD457D"/>
    <w:rsid w:val="00AD4BCF"/>
    <w:rsid w:val="00AF4A8E"/>
    <w:rsid w:val="00AF5686"/>
    <w:rsid w:val="00AF78D5"/>
    <w:rsid w:val="00B1063A"/>
    <w:rsid w:val="00B15449"/>
    <w:rsid w:val="00B21429"/>
    <w:rsid w:val="00B352E9"/>
    <w:rsid w:val="00B9524E"/>
    <w:rsid w:val="00B95979"/>
    <w:rsid w:val="00B9781E"/>
    <w:rsid w:val="00BB2717"/>
    <w:rsid w:val="00BF79F1"/>
    <w:rsid w:val="00C03035"/>
    <w:rsid w:val="00C25DCA"/>
    <w:rsid w:val="00C275BC"/>
    <w:rsid w:val="00C33079"/>
    <w:rsid w:val="00C365F1"/>
    <w:rsid w:val="00C371F4"/>
    <w:rsid w:val="00C43B31"/>
    <w:rsid w:val="00C50536"/>
    <w:rsid w:val="00C55EB7"/>
    <w:rsid w:val="00CA302A"/>
    <w:rsid w:val="00CA3D0C"/>
    <w:rsid w:val="00CB30DE"/>
    <w:rsid w:val="00CB6651"/>
    <w:rsid w:val="00CB6887"/>
    <w:rsid w:val="00CD4C7B"/>
    <w:rsid w:val="00D22038"/>
    <w:rsid w:val="00D45717"/>
    <w:rsid w:val="00D626D7"/>
    <w:rsid w:val="00D738D6"/>
    <w:rsid w:val="00D80795"/>
    <w:rsid w:val="00D87E00"/>
    <w:rsid w:val="00D908B4"/>
    <w:rsid w:val="00D9134D"/>
    <w:rsid w:val="00D97CD9"/>
    <w:rsid w:val="00DA0A3F"/>
    <w:rsid w:val="00DA7A03"/>
    <w:rsid w:val="00DB1818"/>
    <w:rsid w:val="00DC309B"/>
    <w:rsid w:val="00DC4DA2"/>
    <w:rsid w:val="00DE1406"/>
    <w:rsid w:val="00E07838"/>
    <w:rsid w:val="00E340BC"/>
    <w:rsid w:val="00E51F8B"/>
    <w:rsid w:val="00E52BB0"/>
    <w:rsid w:val="00E62835"/>
    <w:rsid w:val="00E70ABA"/>
    <w:rsid w:val="00E77645"/>
    <w:rsid w:val="00E852FF"/>
    <w:rsid w:val="00E90ABE"/>
    <w:rsid w:val="00EA22F8"/>
    <w:rsid w:val="00EC030E"/>
    <w:rsid w:val="00EC4A25"/>
    <w:rsid w:val="00EE0A1E"/>
    <w:rsid w:val="00F025A2"/>
    <w:rsid w:val="00F11EB2"/>
    <w:rsid w:val="00F2026E"/>
    <w:rsid w:val="00F2210A"/>
    <w:rsid w:val="00F37743"/>
    <w:rsid w:val="00F42B9D"/>
    <w:rsid w:val="00F54A3D"/>
    <w:rsid w:val="00F62ED6"/>
    <w:rsid w:val="00F653B8"/>
    <w:rsid w:val="00F76F8F"/>
    <w:rsid w:val="00FA1266"/>
    <w:rsid w:val="00FB1A9E"/>
    <w:rsid w:val="00FB2BEA"/>
    <w:rsid w:val="00FC1192"/>
    <w:rsid w:val="00FC53BF"/>
    <w:rsid w:val="00FC5771"/>
    <w:rsid w:val="00FF4BAA"/>
    <w:rsid w:val="00FF58DE"/>
    <w:rsid w:val="00FF735D"/>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25C"/>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Char1">
    <w:name w:val="B1 Char1"/>
    <w:link w:val="B1"/>
    <w:rsid w:val="00652DC7"/>
    <w:rPr>
      <w:lang w:val="en-GB" w:eastAsia="en-US"/>
    </w:rPr>
  </w:style>
  <w:style w:type="character" w:customStyle="1" w:styleId="TALChar">
    <w:name w:val="TAL Char"/>
    <w:link w:val="TAL"/>
    <w:rsid w:val="00652DC7"/>
    <w:rPr>
      <w:rFonts w:ascii="Arial" w:hAnsi="Arial"/>
      <w:sz w:val="18"/>
      <w:lang w:val="en-GB" w:eastAsia="en-US"/>
    </w:rPr>
  </w:style>
  <w:style w:type="paragraph" w:styleId="BalloonText">
    <w:name w:val="Balloon Text"/>
    <w:basedOn w:val="Normal"/>
    <w:link w:val="BalloonTextChar"/>
    <w:semiHidden/>
    <w:unhideWhenUsed/>
    <w:rsid w:val="00D626D7"/>
    <w:pPr>
      <w:spacing w:after="0"/>
    </w:pPr>
    <w:rPr>
      <w:rFonts w:ascii="Segoe UI" w:hAnsi="Segoe UI" w:cs="Segoe UI"/>
      <w:sz w:val="18"/>
      <w:szCs w:val="18"/>
    </w:rPr>
  </w:style>
  <w:style w:type="character" w:customStyle="1" w:styleId="BalloonTextChar">
    <w:name w:val="Balloon Text Char"/>
    <w:link w:val="BalloonText"/>
    <w:semiHidden/>
    <w:rsid w:val="00D626D7"/>
    <w:rPr>
      <w:rFonts w:ascii="Segoe UI" w:hAnsi="Segoe UI" w:cs="Segoe UI"/>
      <w:sz w:val="18"/>
      <w:szCs w:val="18"/>
      <w:lang w:val="en-GB" w:eastAsia="en-US"/>
    </w:rPr>
  </w:style>
  <w:style w:type="character" w:customStyle="1" w:styleId="Heading2Char">
    <w:name w:val="Heading 2 Char"/>
    <w:link w:val="Heading2"/>
    <w:rsid w:val="008B111C"/>
    <w:rPr>
      <w:rFonts w:ascii="Arial" w:hAnsi="Arial"/>
      <w:sz w:val="32"/>
      <w:lang w:val="en-GB" w:eastAsia="en-US"/>
    </w:rPr>
  </w:style>
  <w:style w:type="paragraph" w:styleId="Caption">
    <w:name w:val="caption"/>
    <w:basedOn w:val="Normal"/>
    <w:next w:val="Normal"/>
    <w:semiHidden/>
    <w:unhideWhenUsed/>
    <w:qFormat/>
    <w:rsid w:val="008B111C"/>
    <w:pPr>
      <w:spacing w:after="200"/>
    </w:pPr>
    <w:rPr>
      <w:i/>
      <w:iCs/>
      <w:color w:val="44546A"/>
      <w:sz w:val="18"/>
      <w:szCs w:val="18"/>
    </w:rPr>
  </w:style>
  <w:style w:type="paragraph" w:styleId="ListParagraph">
    <w:name w:val="List Paragraph"/>
    <w:basedOn w:val="Normal"/>
    <w:uiPriority w:val="34"/>
    <w:qFormat/>
    <w:rsid w:val="008B111C"/>
    <w:pPr>
      <w:ind w:left="720"/>
      <w:contextualSpacing/>
    </w:pPr>
  </w:style>
  <w:style w:type="character" w:customStyle="1" w:styleId="THChar">
    <w:name w:val="TH Char"/>
    <w:link w:val="TH"/>
    <w:qFormat/>
    <w:locked/>
    <w:rsid w:val="008B11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737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1e/Docs/RP-2107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5AIRPNAIUNRU-490051479-3053</_dlc_DocId>
    <_dlc_DocIdUrl xmlns="71c5aaf6-e6ce-465b-b873-5148d2a4c105">
      <Url>https://nokia.sharepoint.com/sites/c5g/projects/FAAS/_layouts/15/DocIdRedir.aspx?ID=5AIRPNAIUNRU-490051479-3053</Url>
      <Description>5AIRPNAIUNRU-490051479-3053</Description>
    </_dlc_DocIdUrl>
    <_Flow_SignoffStatus xmlns="bd98b143-97af-43fb-a8de-63b93b9440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8" ma:contentTypeDescription="Create a new document." ma:contentTypeScope="" ma:versionID="9a118ab7844176985683cb6e43e558a7">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3369df214e89d84e9d4dc4446591b072"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ECD957-73F7-4084-B584-0626B56A8DA5}">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2.xml><?xml version="1.0" encoding="utf-8"?>
<ds:datastoreItem xmlns:ds="http://schemas.openxmlformats.org/officeDocument/2006/customXml" ds:itemID="{C643C568-A715-45B3-A603-58397E8B35D0}">
  <ds:schemaRefs>
    <ds:schemaRef ds:uri="http://schemas.microsoft.com/sharepoint/v3/contenttype/forms"/>
  </ds:schemaRefs>
</ds:datastoreItem>
</file>

<file path=customXml/itemProps3.xml><?xml version="1.0" encoding="utf-8"?>
<ds:datastoreItem xmlns:ds="http://schemas.openxmlformats.org/officeDocument/2006/customXml" ds:itemID="{A319292E-505A-4312-AECB-219449F108E4}">
  <ds:schemaRefs>
    <ds:schemaRef ds:uri="http://schemas.microsoft.com/sharepoint/events"/>
  </ds:schemaRefs>
</ds:datastoreItem>
</file>

<file path=customXml/itemProps4.xml><?xml version="1.0" encoding="utf-8"?>
<ds:datastoreItem xmlns:ds="http://schemas.openxmlformats.org/officeDocument/2006/customXml" ds:itemID="{2940DB9A-8C57-4675-B37A-77FCE12CDFBE}">
  <ds:schemaRefs>
    <ds:schemaRef ds:uri="Microsoft.SharePoint.Taxonomy.ContentTypeSync"/>
  </ds:schemaRefs>
</ds:datastoreItem>
</file>

<file path=customXml/itemProps5.xml><?xml version="1.0" encoding="utf-8"?>
<ds:datastoreItem xmlns:ds="http://schemas.openxmlformats.org/officeDocument/2006/customXml" ds:itemID="{290FE4DE-9570-4EDB-8951-CC6537EA5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577</Words>
  <Characters>3179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36</cp:revision>
  <dcterms:created xsi:type="dcterms:W3CDTF">2019-06-29T13:33:00Z</dcterms:created>
  <dcterms:modified xsi:type="dcterms:W3CDTF">2021-05-06T20:47:00Z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149d5d69-378d-4366-a398-d2a55f919afd</vt:lpwstr>
  </property>
</Properties>
</file>